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FREELANCE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DUE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FREELANCER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CLIENT (BILL 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PROJECT AND DATES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00"/>
        <w:gridCol w:w="1400"/>
        <w:gridCol w:w="1700"/>
        <w:gridCol w:w="1700"/>
      </w:tblGrid>
      <w:tr>
        <w:tc>
          <w:tcPr>
            <w:tcW w:w="46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4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HOURS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RATE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AMOUNT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Use one line per task or block of time: hours multiplied by your rate. Put your payment terms (for example Net 30) and any late-fee terms on every invoice.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Freelance Invoice Template</dc:title>
  <dc:creator>MakeInvoicePDF</dc:creator>
</cp:coreProperties>
</file>